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C2" w:rsidRDefault="00E933C2" w:rsidP="00E864C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1A">
        <w:rPr>
          <w:rFonts w:ascii="Times New Roman" w:hAnsi="Times New Roman" w:cs="Times New Roman"/>
          <w:b/>
          <w:sz w:val="24"/>
          <w:szCs w:val="24"/>
        </w:rPr>
        <w:t>Библиография</w:t>
      </w:r>
      <w:bookmarkStart w:id="0" w:name="_GoBack"/>
      <w:bookmarkEnd w:id="0"/>
    </w:p>
    <w:p w:rsidR="00E933C2" w:rsidRPr="00C57E1A" w:rsidRDefault="00E933C2" w:rsidP="00E864C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Антоненко С. Северная масленица </w:t>
      </w:r>
      <w:r w:rsidRPr="00FC14FD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Родина. – 2006, № 1. – С. 48-51.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Бердникова В., Ткаченко И. Масленица (Театрализованное представление) </w:t>
      </w:r>
      <w:r w:rsidRPr="00895782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Воспитание школьников. – 2007, № 1. – С. 74-76.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Боярчук</w:t>
      </w:r>
      <w:proofErr w:type="spellEnd"/>
      <w:r w:rsidRPr="00E933C2">
        <w:rPr>
          <w:rFonts w:ascii="Times New Roman" w:hAnsi="Times New Roman" w:cs="Times New Roman"/>
          <w:sz w:val="24"/>
          <w:szCs w:val="24"/>
        </w:rPr>
        <w:t xml:space="preserve"> А. В. Празднование Масленицы во второй половине XIX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C2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Преподавание истории в школе. – 2011, № 3. – С. 74-75. 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Масленица (Сценарий праздника Масленицы для фольклорного коллектива) </w:t>
      </w:r>
      <w:r w:rsidRPr="00E864CE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Молодежная эстрада. – 2006, № 7-9. – С. 217-223.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Панфилов В. Широкая масленица (Сценарий театрализованного представления) </w:t>
      </w:r>
      <w:r w:rsidRPr="00FC14FD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Молодежная эстрада. – 2001, № 6-7. – С.51-59.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Савинова Е., Кудряшова Л. Проводы русской зимы.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Русская масленица (Сценарий праздника </w:t>
      </w:r>
      <w:r w:rsidRPr="00E864CE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Молодежная эстрада. – 2001, № 2-3.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С. 36-38.</w:t>
      </w:r>
    </w:p>
    <w:p w:rsidR="00E864CE" w:rsidRPr="00E933C2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E933C2">
        <w:rPr>
          <w:rFonts w:ascii="Times New Roman" w:hAnsi="Times New Roman" w:cs="Times New Roman"/>
          <w:sz w:val="24"/>
          <w:szCs w:val="24"/>
        </w:rPr>
        <w:t xml:space="preserve"> И. "У них на масленице жирной водились русские блины"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C2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Наука и жизнь. – 2014, № 2. – </w:t>
      </w:r>
      <w:r w:rsidRPr="00E933C2">
        <w:rPr>
          <w:rFonts w:ascii="Times New Roman" w:hAnsi="Times New Roman" w:cs="Times New Roman"/>
          <w:sz w:val="24"/>
          <w:szCs w:val="24"/>
        </w:rPr>
        <w:t>С.108</w:t>
      </w:r>
      <w:r>
        <w:rPr>
          <w:rFonts w:ascii="Times New Roman" w:hAnsi="Times New Roman" w:cs="Times New Roman"/>
          <w:sz w:val="24"/>
          <w:szCs w:val="24"/>
        </w:rPr>
        <w:t>-113.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Н. В. Масленица на </w:t>
      </w: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Белгородчине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</w:t>
      </w:r>
      <w:r w:rsidRPr="00E933C2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Живая старина. – 2010, № </w:t>
      </w:r>
      <w:r w:rsidRPr="00C57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– С. 46-49.</w:t>
      </w:r>
    </w:p>
    <w:p w:rsidR="00E864CE" w:rsidRPr="00E933C2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Федотова, М. Масленица </w:t>
      </w:r>
      <w:r w:rsidRPr="00E9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sz w:val="24"/>
          <w:szCs w:val="24"/>
        </w:rPr>
        <w:t>Мы-земляки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2011, № </w:t>
      </w:r>
      <w:r w:rsidRPr="00E933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33C2">
        <w:rPr>
          <w:rFonts w:ascii="Times New Roman" w:hAnsi="Times New Roman" w:cs="Times New Roman"/>
          <w:sz w:val="24"/>
          <w:szCs w:val="24"/>
        </w:rPr>
        <w:t>С.40-43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4CE" w:rsidRDefault="00E864CE" w:rsidP="00E864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Якименко</w:t>
      </w:r>
      <w:r w:rsidRPr="00E933C2">
        <w:rPr>
          <w:rFonts w:ascii="Times New Roman" w:hAnsi="Times New Roman" w:cs="Times New Roman"/>
          <w:sz w:val="24"/>
          <w:szCs w:val="24"/>
        </w:rPr>
        <w:t xml:space="preserve"> Т. С. О </w:t>
      </w:r>
      <w:proofErr w:type="spellStart"/>
      <w:r w:rsidRPr="00E933C2">
        <w:rPr>
          <w:rFonts w:ascii="Times New Roman" w:hAnsi="Times New Roman" w:cs="Times New Roman"/>
          <w:sz w:val="24"/>
          <w:szCs w:val="24"/>
        </w:rPr>
        <w:t>мелогеографии</w:t>
      </w:r>
      <w:proofErr w:type="spellEnd"/>
      <w:r w:rsidRPr="00E933C2">
        <w:rPr>
          <w:rFonts w:ascii="Times New Roman" w:hAnsi="Times New Roman" w:cs="Times New Roman"/>
          <w:sz w:val="24"/>
          <w:szCs w:val="24"/>
        </w:rPr>
        <w:t xml:space="preserve"> масленичных обрядов Верхнего </w:t>
      </w:r>
      <w:proofErr w:type="spellStart"/>
      <w:r w:rsidRPr="00E933C2">
        <w:rPr>
          <w:rFonts w:ascii="Times New Roman" w:hAnsi="Times New Roman" w:cs="Times New Roman"/>
          <w:sz w:val="24"/>
          <w:szCs w:val="24"/>
        </w:rPr>
        <w:t>Поднепровья</w:t>
      </w:r>
      <w:proofErr w:type="spellEnd"/>
      <w:r w:rsidRPr="00E933C2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Живая старина. – 2011, № 4. – С. 53-58.</w:t>
      </w:r>
    </w:p>
    <w:p w:rsidR="00C57E1A" w:rsidRPr="00E864CE" w:rsidRDefault="00C57E1A" w:rsidP="00E86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CE">
        <w:rPr>
          <w:rFonts w:ascii="Times New Roman" w:hAnsi="Times New Roman" w:cs="Times New Roman"/>
          <w:b/>
          <w:sz w:val="24"/>
          <w:szCs w:val="24"/>
        </w:rPr>
        <w:t xml:space="preserve">Список статей из научной электронной библиотеки </w:t>
      </w:r>
      <w:proofErr w:type="spellStart"/>
      <w:r w:rsidRPr="00E864CE">
        <w:rPr>
          <w:rFonts w:ascii="Times New Roman" w:hAnsi="Times New Roman" w:cs="Times New Roman"/>
          <w:b/>
          <w:sz w:val="24"/>
          <w:szCs w:val="24"/>
        </w:rPr>
        <w:t>Elibrary</w:t>
      </w:r>
      <w:proofErr w:type="spellEnd"/>
    </w:p>
    <w:p w:rsidR="00C57E1A" w:rsidRPr="00E864CE" w:rsidRDefault="00C57E1A" w:rsidP="00E864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4CE">
        <w:rPr>
          <w:rFonts w:ascii="Times New Roman" w:hAnsi="Times New Roman" w:cs="Times New Roman"/>
          <w:i/>
          <w:sz w:val="24"/>
          <w:szCs w:val="24"/>
        </w:rPr>
        <w:t>Для доступа к полным текстам необходимо пройти регистрацию на сайте (</w:t>
      </w:r>
      <w:hyperlink r:id="rId6" w:history="1">
        <w:r w:rsidR="00E864CE" w:rsidRPr="00E864CE">
          <w:rPr>
            <w:rStyle w:val="a4"/>
            <w:rFonts w:ascii="Times New Roman" w:hAnsi="Times New Roman" w:cs="Times New Roman"/>
            <w:i/>
            <w:sz w:val="24"/>
            <w:szCs w:val="24"/>
          </w:rPr>
          <w:t>http://elibrary.ru/</w:t>
        </w:r>
      </w:hyperlink>
      <w:r w:rsidRPr="00E864CE">
        <w:rPr>
          <w:rFonts w:ascii="Times New Roman" w:hAnsi="Times New Roman" w:cs="Times New Roman"/>
          <w:i/>
          <w:sz w:val="24"/>
          <w:szCs w:val="24"/>
        </w:rPr>
        <w:t>)</w:t>
      </w:r>
    </w:p>
    <w:p w:rsidR="00E864CE" w:rsidRPr="00C57E1A" w:rsidRDefault="00E864CE" w:rsidP="00E864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7E1A" w:rsidRPr="00C57E1A" w:rsidRDefault="00C57E1A" w:rsidP="00E86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A">
        <w:rPr>
          <w:rFonts w:ascii="Times New Roman" w:hAnsi="Times New Roman" w:cs="Times New Roman"/>
          <w:sz w:val="24"/>
          <w:szCs w:val="24"/>
        </w:rPr>
        <w:t>Асташова А.Н. Социально-культурные особенности весеннего обрядового комплекса крестьян Воронежской губернии во второй половине XIX века // Вестник Челябинского государственного университета. –  2009, № 6. – С. 12-15.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Быстрикова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О.И., Жук Л.С. Праздник Масленица // Начальная школа. - 2009. № 1. – С. 97-99.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Ворошилин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В.А. Масленичная обрядность Воронежской области // Вестник Тамбовского университета. Серия: Гуманитарные науки. – 2008, № 9.  – С. 147-151.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Л.А. Праздник «Широкая славянская Масленица» // Начальная школа. – 2013. № 2. – С. 63-67.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Жеребцова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Ж.И. Масленица // Русский язык за рубежом. –  2012, № 6 (235). – С. 4-14.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Зымалева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Л.В. мастер-класс по изготовлению чучела Масленицы // Начальная школа. – 2010, № 2. – С. 56.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Махрачева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Т.В. Лексико-семантическая организация календаря (праздник Масленица на материале южнорусского региона) // Вестник Тамбовского университета. Серия: Гуманитарные науки. – 2005, № 4. – С. 118-122.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A">
        <w:rPr>
          <w:rFonts w:ascii="Times New Roman" w:hAnsi="Times New Roman" w:cs="Times New Roman"/>
          <w:sz w:val="24"/>
          <w:szCs w:val="24"/>
        </w:rPr>
        <w:t>Меньщикова Т.С. Влияние народно-праздничной культуры на поэтику рассказа А. С. Суворина «Государыня-</w:t>
      </w: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Масляница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>» // Вестник Томского государственного педагогического университета. –2011, № 7. – С. 97-99.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A">
        <w:rPr>
          <w:rFonts w:ascii="Times New Roman" w:hAnsi="Times New Roman" w:cs="Times New Roman"/>
          <w:sz w:val="24"/>
          <w:szCs w:val="24"/>
        </w:rPr>
        <w:t>Первухина Е.В. Лирические обрядовые песни казанского района Тюменской области // От текста к контексту. –  2013, № 1. –  С. 191-193.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Поповичева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И.В., Алпатова П.Н. </w:t>
      </w: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Межобрядовые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параллели в Тамбовской Масленице // Вестник Тамбовского университета. Серия: Гуманитарные науки. – 2002, № 1. – С. 59-65.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1A">
        <w:rPr>
          <w:rFonts w:ascii="Times New Roman" w:hAnsi="Times New Roman" w:cs="Times New Roman"/>
          <w:sz w:val="24"/>
          <w:szCs w:val="24"/>
        </w:rPr>
        <w:t>Руделев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 xml:space="preserve"> В.Г. Прощай, масленица…  // Вестник Тамбовского университета. Серия: Гуманитарные науки. –  1999. № 3. – С. 48-54.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A">
        <w:rPr>
          <w:rFonts w:ascii="Times New Roman" w:hAnsi="Times New Roman" w:cs="Times New Roman"/>
          <w:sz w:val="24"/>
          <w:szCs w:val="24"/>
        </w:rPr>
        <w:t>Серякова Н.А. Развлечения на Масленицу в Томске во второй половине XIX в. // Вестник Томского государственного университета. – 2011, № 348. – С. 69-71.</w:t>
      </w:r>
    </w:p>
    <w:p w:rsidR="00C57E1A" w:rsidRPr="00C57E1A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A">
        <w:rPr>
          <w:rFonts w:ascii="Times New Roman" w:hAnsi="Times New Roman" w:cs="Times New Roman"/>
          <w:sz w:val="24"/>
          <w:szCs w:val="24"/>
        </w:rPr>
        <w:t>Соболева Т.В. «Масленая-</w:t>
      </w:r>
      <w:proofErr w:type="spellStart"/>
      <w:r w:rsidRPr="00C57E1A">
        <w:rPr>
          <w:rFonts w:ascii="Times New Roman" w:hAnsi="Times New Roman" w:cs="Times New Roman"/>
          <w:sz w:val="24"/>
          <w:szCs w:val="24"/>
        </w:rPr>
        <w:t>голошейка</w:t>
      </w:r>
      <w:proofErr w:type="spellEnd"/>
      <w:r w:rsidRPr="00C57E1A">
        <w:rPr>
          <w:rFonts w:ascii="Times New Roman" w:hAnsi="Times New Roman" w:cs="Times New Roman"/>
          <w:sz w:val="24"/>
          <w:szCs w:val="24"/>
        </w:rPr>
        <w:t>, покатай нас хорошенько!» // Живая старина. –  2013, № 3 (79). –  С. 5-7.</w:t>
      </w:r>
    </w:p>
    <w:p w:rsidR="00C57E1A" w:rsidRPr="00E864CE" w:rsidRDefault="00C57E1A" w:rsidP="00E864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CE">
        <w:rPr>
          <w:rFonts w:ascii="Times New Roman" w:hAnsi="Times New Roman" w:cs="Times New Roman"/>
          <w:sz w:val="24"/>
          <w:szCs w:val="24"/>
        </w:rPr>
        <w:t>Цветкова А.Д., Топко О.О. Обряды масленичного цикла в фольклоре Центрально-Северного Казахстана // Вестник Челябинской государственной академии культуры и искусств. –2010, Т. 21. № 1. – С. 72-76.</w:t>
      </w:r>
    </w:p>
    <w:p w:rsidR="00E933C2" w:rsidRPr="00E933C2" w:rsidRDefault="00E933C2" w:rsidP="00E86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33C2" w:rsidRPr="00E933C2" w:rsidSect="00E8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3C90"/>
    <w:multiLevelType w:val="hybridMultilevel"/>
    <w:tmpl w:val="B068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91D7E"/>
    <w:multiLevelType w:val="hybridMultilevel"/>
    <w:tmpl w:val="B068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60"/>
    <w:rsid w:val="00266C67"/>
    <w:rsid w:val="005720EB"/>
    <w:rsid w:val="00895782"/>
    <w:rsid w:val="00AE35DD"/>
    <w:rsid w:val="00C57E1A"/>
    <w:rsid w:val="00D1687A"/>
    <w:rsid w:val="00E46A60"/>
    <w:rsid w:val="00E864CE"/>
    <w:rsid w:val="00E933C2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2014-02-24T04:15:00Z</dcterms:created>
  <dcterms:modified xsi:type="dcterms:W3CDTF">2014-02-24T07:31:00Z</dcterms:modified>
</cp:coreProperties>
</file>